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77951" w14:textId="77777777" w:rsidR="00A42481" w:rsidRDefault="00A42481" w:rsidP="00A42481">
      <w:pPr>
        <w:pStyle w:val="BodyText"/>
        <w:jc w:val="center"/>
        <w:rPr>
          <w:spacing w:val="23"/>
          <w:w w:val="99"/>
        </w:rPr>
      </w:pPr>
      <w:bookmarkStart w:id="0" w:name="_GoBack"/>
      <w:bookmarkEnd w:id="0"/>
      <w:r>
        <w:t>UNITED</w:t>
      </w:r>
      <w:r>
        <w:rPr>
          <w:spacing w:val="-10"/>
        </w:rPr>
        <w:t xml:space="preserve"> </w:t>
      </w:r>
      <w:r>
        <w:t>STATES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AMERICA</w:t>
      </w:r>
    </w:p>
    <w:p w14:paraId="4E9606CB" w14:textId="77777777" w:rsidR="00A42481" w:rsidRDefault="00A42481" w:rsidP="00A42481">
      <w:pPr>
        <w:pStyle w:val="BodyText"/>
        <w:tabs>
          <w:tab w:val="left" w:pos="7110"/>
        </w:tabs>
        <w:spacing w:before="52"/>
        <w:ind w:left="0" w:right="50"/>
        <w:jc w:val="center"/>
      </w:pPr>
      <w:r>
        <w:t>FEDERAL</w:t>
      </w:r>
      <w:r>
        <w:rPr>
          <w:spacing w:val="-20"/>
        </w:rPr>
        <w:t xml:space="preserve"> </w:t>
      </w:r>
      <w:r>
        <w:t>ENERGY</w:t>
      </w:r>
      <w:r>
        <w:rPr>
          <w:spacing w:val="-17"/>
        </w:rPr>
        <w:t xml:space="preserve"> </w:t>
      </w:r>
      <w:r>
        <w:t>REGULATORY</w:t>
      </w:r>
      <w:r>
        <w:rPr>
          <w:spacing w:val="-17"/>
        </w:rPr>
        <w:t xml:space="preserve"> </w:t>
      </w:r>
      <w:r>
        <w:t>COMMISSION</w:t>
      </w:r>
    </w:p>
    <w:p w14:paraId="6C8F8903" w14:textId="77777777" w:rsidR="00A42481" w:rsidRDefault="00A42481" w:rsidP="00A42481">
      <w:pPr>
        <w:spacing w:before="7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W w:w="9743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6"/>
        <w:gridCol w:w="1621"/>
        <w:gridCol w:w="1976"/>
      </w:tblGrid>
      <w:tr w:rsidR="00A42481" w14:paraId="3F3EDE1E" w14:textId="77777777" w:rsidTr="00BF32A6">
        <w:trPr>
          <w:trHeight w:hRule="exact" w:val="402"/>
        </w:trPr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</w:tcPr>
          <w:p w14:paraId="59882E2D" w14:textId="4058E7C6" w:rsidR="00A42481" w:rsidRDefault="00A42481" w:rsidP="00BF32A6">
            <w:pPr>
              <w:pStyle w:val="TableParagraph"/>
              <w:ind w:right="95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Electric Quarterly Report User</w:t>
            </w:r>
            <w:r w:rsidR="00C95F32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Group Meeting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58605860" w14:textId="77777777" w:rsidR="00A42481" w:rsidRDefault="00A42481" w:rsidP="009F6525">
            <w:pPr>
              <w:pStyle w:val="TableParagraph"/>
              <w:ind w:left="24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30E">
              <w:rPr>
                <w:rFonts w:ascii="Times New Roman" w:hAnsi="Times New Roman" w:cs="Times New Roman"/>
                <w:sz w:val="26"/>
                <w:szCs w:val="26"/>
              </w:rPr>
              <w:t>Docket No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1723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032B4786" w14:textId="77777777" w:rsidR="00A42481" w:rsidRDefault="00A42481" w:rsidP="009F6525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AD20-24-000</w:t>
            </w:r>
          </w:p>
          <w:p w14:paraId="2E63A1B1" w14:textId="77777777" w:rsidR="00A42481" w:rsidRDefault="00A42481" w:rsidP="009F6525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42481" w14:paraId="6ECF7322" w14:textId="77777777" w:rsidTr="00BF32A6">
        <w:trPr>
          <w:trHeight w:hRule="exact" w:val="402"/>
        </w:trPr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</w:tcPr>
          <w:p w14:paraId="69DBF512" w14:textId="77777777" w:rsidR="00A42481" w:rsidRDefault="00A42481" w:rsidP="009F6525">
            <w:pPr>
              <w:pStyle w:val="TableParagraph"/>
              <w:ind w:left="230" w:right="95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36559B04" w14:textId="77777777" w:rsidR="00A42481" w:rsidRPr="0017230E" w:rsidRDefault="00A42481" w:rsidP="009F6525">
            <w:pPr>
              <w:pStyle w:val="TableParagraph"/>
              <w:ind w:left="24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0D28BC60" w14:textId="77777777" w:rsidR="00A42481" w:rsidRDefault="00A42481" w:rsidP="009F6525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ER02-2001-000</w:t>
            </w:r>
          </w:p>
        </w:tc>
      </w:tr>
    </w:tbl>
    <w:p w14:paraId="52D345C6" w14:textId="77777777" w:rsidR="00A42481" w:rsidRPr="009E55FA" w:rsidRDefault="00A42481" w:rsidP="00A42481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p w14:paraId="0E289460" w14:textId="77777777" w:rsidR="00A42481" w:rsidRDefault="00A42481" w:rsidP="00A42481">
      <w:pPr>
        <w:pStyle w:val="BodyText"/>
        <w:spacing w:before="66"/>
        <w:ind w:left="812"/>
      </w:pPr>
      <w:r>
        <w:t>NOTICE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ELECTRIC</w:t>
      </w:r>
      <w:r>
        <w:rPr>
          <w:spacing w:val="-13"/>
        </w:rPr>
        <w:t xml:space="preserve"> </w:t>
      </w:r>
      <w:r>
        <w:t>QUARTERLY</w:t>
      </w:r>
      <w:r>
        <w:rPr>
          <w:spacing w:val="-9"/>
        </w:rPr>
        <w:t xml:space="preserve"> </w:t>
      </w:r>
      <w:r>
        <w:t>REPORT</w:t>
      </w:r>
      <w:r>
        <w:rPr>
          <w:spacing w:val="-12"/>
        </w:rPr>
        <w:t xml:space="preserve"> </w:t>
      </w:r>
      <w:r>
        <w:t>USERS</w:t>
      </w:r>
      <w:r>
        <w:rPr>
          <w:spacing w:val="-12"/>
        </w:rPr>
        <w:t xml:space="preserve"> </w:t>
      </w:r>
      <w:r>
        <w:t>GROUP</w:t>
      </w:r>
      <w:r>
        <w:rPr>
          <w:spacing w:val="-10"/>
        </w:rPr>
        <w:t xml:space="preserve"> </w:t>
      </w:r>
      <w:r>
        <w:t>MEETING</w:t>
      </w:r>
    </w:p>
    <w:p w14:paraId="45D0D960" w14:textId="77777777" w:rsidR="00A42481" w:rsidRDefault="00A42481" w:rsidP="00A42481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69970EF5" w14:textId="656573F7" w:rsidR="00A42481" w:rsidRDefault="00BF32A6" w:rsidP="00BF32A6">
      <w:pPr>
        <w:widowControl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F32A6">
        <w:rPr>
          <w:rFonts w:ascii="Times New Roman" w:eastAsia="Times New Roman" w:hAnsi="Times New Roman" w:cs="Times New Roman"/>
          <w:sz w:val="26"/>
          <w:szCs w:val="26"/>
        </w:rPr>
        <w:t>(September 10, 2020)</w:t>
      </w:r>
    </w:p>
    <w:p w14:paraId="001EBC2D" w14:textId="77777777" w:rsidR="00BF32A6" w:rsidRPr="00BF32A6" w:rsidRDefault="00BF32A6" w:rsidP="00BF32A6">
      <w:pPr>
        <w:widowControl/>
        <w:rPr>
          <w:rFonts w:ascii="Times New Roman" w:eastAsia="Times New Roman" w:hAnsi="Times New Roman" w:cs="Times New Roman"/>
          <w:sz w:val="26"/>
          <w:szCs w:val="20"/>
        </w:rPr>
      </w:pPr>
    </w:p>
    <w:p w14:paraId="6325BCB8" w14:textId="68482527" w:rsidR="00A42481" w:rsidRDefault="00A42481" w:rsidP="00A42481">
      <w:pPr>
        <w:pStyle w:val="BodyText"/>
        <w:ind w:left="339" w:right="58" w:firstLine="720"/>
      </w:pPr>
      <w:r>
        <w:t>On</w:t>
      </w:r>
      <w:r>
        <w:rPr>
          <w:spacing w:val="-10"/>
        </w:rPr>
        <w:t xml:space="preserve"> August 3, 2020</w:t>
      </w:r>
      <w:r w:rsidR="00E85F24">
        <w:rPr>
          <w:spacing w:val="-10"/>
        </w:rPr>
        <w:t>,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Federal</w:t>
      </w:r>
      <w:r>
        <w:rPr>
          <w:spacing w:val="-10"/>
        </w:rPr>
        <w:t xml:space="preserve"> </w:t>
      </w:r>
      <w:r>
        <w:rPr>
          <w:spacing w:val="1"/>
        </w:rPr>
        <w:t>Energy</w:t>
      </w:r>
      <w:r>
        <w:rPr>
          <w:spacing w:val="-13"/>
        </w:rPr>
        <w:t xml:space="preserve"> </w:t>
      </w:r>
      <w:r>
        <w:t>Regulatory</w:t>
      </w:r>
      <w:r>
        <w:rPr>
          <w:spacing w:val="-14"/>
        </w:rPr>
        <w:t xml:space="preserve"> </w:t>
      </w:r>
      <w:r>
        <w:t>Commission</w:t>
      </w:r>
      <w:r>
        <w:rPr>
          <w:spacing w:val="-10"/>
        </w:rPr>
        <w:t xml:space="preserve"> </w:t>
      </w:r>
      <w:r>
        <w:t>(Commission)</w:t>
      </w:r>
      <w:r>
        <w:rPr>
          <w:spacing w:val="36"/>
          <w:w w:val="99"/>
        </w:rPr>
        <w:t xml:space="preserve"> </w:t>
      </w:r>
      <w:r>
        <w:t>issued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notice</w:t>
      </w:r>
      <w:r>
        <w:rPr>
          <w:spacing w:val="-8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Commission</w:t>
      </w:r>
      <w:r>
        <w:rPr>
          <w:spacing w:val="-5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hold</w:t>
      </w:r>
      <w:r>
        <w:rPr>
          <w:spacing w:val="-8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Electric</w:t>
      </w:r>
      <w:r>
        <w:rPr>
          <w:spacing w:val="-5"/>
        </w:rPr>
        <w:t xml:space="preserve"> </w:t>
      </w:r>
      <w:r>
        <w:t>Quarterly</w:t>
      </w:r>
      <w:r>
        <w:rPr>
          <w:spacing w:val="-7"/>
        </w:rPr>
        <w:t xml:space="preserve"> </w:t>
      </w:r>
      <w:r>
        <w:t>Report</w:t>
      </w:r>
      <w:r>
        <w:rPr>
          <w:spacing w:val="-8"/>
        </w:rPr>
        <w:t xml:space="preserve"> </w:t>
      </w:r>
      <w:r>
        <w:t>(EQR)</w:t>
      </w:r>
      <w:r>
        <w:rPr>
          <w:spacing w:val="-7"/>
        </w:rPr>
        <w:t xml:space="preserve"> </w:t>
      </w:r>
      <w:r>
        <w:t>Users</w:t>
      </w:r>
      <w:r>
        <w:rPr>
          <w:spacing w:val="28"/>
          <w:w w:val="99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rPr>
          <w:spacing w:val="-1"/>
        </w:rPr>
        <w:t>meeting</w:t>
      </w:r>
      <w:r>
        <w:rPr>
          <w:spacing w:val="-5"/>
        </w:rPr>
        <w:t xml:space="preserve"> </w:t>
      </w:r>
      <w:r>
        <w:t>on September 23, 2020.</w:t>
      </w:r>
      <w:r>
        <w:rPr>
          <w:spacing w:val="5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place</w:t>
      </w:r>
      <w:r>
        <w:rPr>
          <w:spacing w:val="-6"/>
        </w:rPr>
        <w:t xml:space="preserve"> </w:t>
      </w:r>
      <w:r>
        <w:rPr>
          <w:spacing w:val="1"/>
        </w:rPr>
        <w:t>from</w:t>
      </w:r>
      <w:r>
        <w:rPr>
          <w:spacing w:val="-5"/>
        </w:rPr>
        <w:t xml:space="preserve"> </w:t>
      </w:r>
      <w:r>
        <w:t>1</w:t>
      </w:r>
      <w:r w:rsidR="007D1EAD">
        <w:t>0</w:t>
      </w:r>
      <w:r w:rsidRPr="00280BBC">
        <w:t>:00</w:t>
      </w:r>
      <w:r w:rsidRPr="00280BBC">
        <w:rPr>
          <w:spacing w:val="-5"/>
        </w:rPr>
        <w:t xml:space="preserve"> </w:t>
      </w:r>
      <w:r w:rsidR="007D1EAD">
        <w:rPr>
          <w:spacing w:val="-1"/>
        </w:rPr>
        <w:t>a</w:t>
      </w:r>
      <w:r w:rsidRPr="00280BBC">
        <w:rPr>
          <w:spacing w:val="-1"/>
        </w:rPr>
        <w:t>.m.</w:t>
      </w:r>
      <w:r w:rsidRPr="00280BBC">
        <w:rPr>
          <w:spacing w:val="-6"/>
        </w:rPr>
        <w:t xml:space="preserve"> </w:t>
      </w:r>
      <w:r w:rsidRPr="00280BBC">
        <w:rPr>
          <w:spacing w:val="1"/>
        </w:rPr>
        <w:t>to</w:t>
      </w:r>
      <w:r w:rsidRPr="00280BBC">
        <w:rPr>
          <w:spacing w:val="-6"/>
        </w:rPr>
        <w:t xml:space="preserve"> </w:t>
      </w:r>
      <w:r w:rsidRPr="00280BBC">
        <w:t>5:00</w:t>
      </w:r>
      <w:r w:rsidR="00E217EC">
        <w:t xml:space="preserve"> </w:t>
      </w:r>
      <w:r w:rsidRPr="00280BBC">
        <w:rPr>
          <w:spacing w:val="-1"/>
        </w:rPr>
        <w:t>p.m.</w:t>
      </w:r>
      <w:r w:rsidRPr="00280BBC">
        <w:rPr>
          <w:spacing w:val="-7"/>
        </w:rPr>
        <w:t xml:space="preserve"> </w:t>
      </w:r>
      <w:r w:rsidR="004A6EF3">
        <w:t>Eastern Time</w:t>
      </w:r>
      <w:r>
        <w:t xml:space="preserve">. </w:t>
      </w:r>
      <w:r w:rsidR="00E85F24">
        <w:t xml:space="preserve"> </w:t>
      </w:r>
      <w:r>
        <w:rPr>
          <w:spacing w:val="-6"/>
        </w:rPr>
        <w:t>A</w:t>
      </w:r>
      <w:r>
        <w:t>ll</w:t>
      </w:r>
      <w:r>
        <w:rPr>
          <w:spacing w:val="-6"/>
        </w:rPr>
        <w:t xml:space="preserve"> </w:t>
      </w:r>
      <w:r>
        <w:t>interested</w:t>
      </w:r>
      <w:r>
        <w:rPr>
          <w:spacing w:val="-5"/>
        </w:rPr>
        <w:t xml:space="preserve"> </w:t>
      </w:r>
      <w:r>
        <w:t>persons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invited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 w:rsidR="00BB3942">
        <w:t>participat</w:t>
      </w:r>
      <w:r w:rsidR="00D1086F">
        <w:t>e</w:t>
      </w:r>
      <w:r w:rsidR="00E85F24">
        <w:t>.</w:t>
      </w:r>
      <w:r w:rsidR="00D1086F">
        <w:t xml:space="preserve"> </w:t>
      </w:r>
      <w:r w:rsidR="00E85F24">
        <w:t xml:space="preserve"> A</w:t>
      </w:r>
      <w:r w:rsidR="00BB3942">
        <w:t>c</w:t>
      </w:r>
      <w:r>
        <w:t>cess to the meeting will be available via WebEx.</w:t>
      </w:r>
    </w:p>
    <w:p w14:paraId="39C5D861" w14:textId="77777777" w:rsidR="00A42481" w:rsidRDefault="00A42481" w:rsidP="00A42481">
      <w:pPr>
        <w:pStyle w:val="BodyText"/>
        <w:ind w:left="339" w:right="58" w:firstLine="720"/>
        <w:rPr>
          <w:rFonts w:cs="Times New Roman"/>
          <w:sz w:val="20"/>
          <w:szCs w:val="20"/>
        </w:rPr>
      </w:pPr>
    </w:p>
    <w:p w14:paraId="760ACC8A" w14:textId="1B7C5463" w:rsidR="00A42481" w:rsidRDefault="00A42481" w:rsidP="00A42481">
      <w:pPr>
        <w:pStyle w:val="BodyText"/>
        <w:ind w:left="339" w:right="375" w:firstLine="720"/>
        <w:rPr>
          <w:rFonts w:cs="Times New Roman"/>
          <w:spacing w:val="-8"/>
        </w:rPr>
      </w:pPr>
      <w:r>
        <w:t>Commission staff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hereby</w:t>
      </w:r>
      <w:r>
        <w:rPr>
          <w:spacing w:val="-10"/>
        </w:rPr>
        <w:t xml:space="preserve"> </w:t>
      </w:r>
      <w:r>
        <w:t>supplementing</w:t>
      </w:r>
      <w:r>
        <w:rPr>
          <w:spacing w:val="-7"/>
        </w:rPr>
        <w:t xml:space="preserve"> </w:t>
      </w:r>
      <w:r>
        <w:t>the August 3, 2020</w:t>
      </w:r>
      <w:r>
        <w:rPr>
          <w:spacing w:val="-7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agenda</w:t>
      </w:r>
      <w:r>
        <w:rPr>
          <w:spacing w:val="-7"/>
        </w:rPr>
        <w:t xml:space="preserve"> </w:t>
      </w:r>
      <w:r>
        <w:t>for</w:t>
      </w:r>
      <w:r>
        <w:rPr>
          <w:spacing w:val="30"/>
          <w:w w:val="99"/>
        </w:rPr>
        <w:t xml:space="preserve"> </w:t>
      </w:r>
      <w:r>
        <w:t>discussion.</w:t>
      </w:r>
      <w:r>
        <w:rPr>
          <w:spacing w:val="50"/>
        </w:rPr>
        <w:t xml:space="preserve"> </w:t>
      </w:r>
      <w:r w:rsidRPr="00507C0F">
        <w:t>During</w:t>
      </w:r>
      <w:r w:rsidRPr="00507C0F">
        <w:rPr>
          <w:spacing w:val="-8"/>
        </w:rPr>
        <w:t xml:space="preserve"> </w:t>
      </w:r>
      <w:r w:rsidRPr="00507C0F">
        <w:t>the</w:t>
      </w:r>
      <w:r w:rsidRPr="00507C0F">
        <w:rPr>
          <w:spacing w:val="-5"/>
        </w:rPr>
        <w:t xml:space="preserve"> </w:t>
      </w:r>
      <w:r w:rsidRPr="00507C0F">
        <w:rPr>
          <w:spacing w:val="-1"/>
        </w:rPr>
        <w:t>meeting,</w:t>
      </w:r>
      <w:r w:rsidRPr="00507C0F">
        <w:rPr>
          <w:spacing w:val="-5"/>
        </w:rPr>
        <w:t xml:space="preserve"> </w:t>
      </w:r>
      <w:r w:rsidRPr="00507C0F">
        <w:t>Commission</w:t>
      </w:r>
      <w:r w:rsidRPr="00507C0F">
        <w:rPr>
          <w:spacing w:val="-6"/>
        </w:rPr>
        <w:t xml:space="preserve"> </w:t>
      </w:r>
      <w:r w:rsidRPr="00507C0F">
        <w:t>staff</w:t>
      </w:r>
      <w:r w:rsidRPr="00507C0F">
        <w:rPr>
          <w:spacing w:val="-5"/>
        </w:rPr>
        <w:t xml:space="preserve"> </w:t>
      </w:r>
      <w:r w:rsidRPr="00507C0F">
        <w:t>and</w:t>
      </w:r>
      <w:r w:rsidRPr="00507C0F">
        <w:rPr>
          <w:spacing w:val="-8"/>
        </w:rPr>
        <w:t xml:space="preserve"> </w:t>
      </w:r>
      <w:r w:rsidRPr="00507C0F">
        <w:t>EQR</w:t>
      </w:r>
      <w:r w:rsidRPr="00507C0F">
        <w:rPr>
          <w:spacing w:val="-7"/>
        </w:rPr>
        <w:t xml:space="preserve"> </w:t>
      </w:r>
      <w:r w:rsidRPr="00507C0F">
        <w:t>users</w:t>
      </w:r>
      <w:r w:rsidRPr="00507C0F">
        <w:rPr>
          <w:spacing w:val="-8"/>
        </w:rPr>
        <w:t xml:space="preserve"> </w:t>
      </w:r>
      <w:r w:rsidRPr="00507C0F">
        <w:t>will</w:t>
      </w:r>
      <w:r w:rsidRPr="00507C0F">
        <w:rPr>
          <w:spacing w:val="-8"/>
        </w:rPr>
        <w:t xml:space="preserve"> </w:t>
      </w:r>
      <w:r w:rsidRPr="00507C0F">
        <w:t>discuss</w:t>
      </w:r>
      <w:r w:rsidRPr="00507C0F">
        <w:rPr>
          <w:spacing w:val="-5"/>
        </w:rPr>
        <w:t xml:space="preserve"> </w:t>
      </w:r>
      <w:r w:rsidR="00F2698C">
        <w:rPr>
          <w:spacing w:val="-5"/>
        </w:rPr>
        <w:t xml:space="preserve">recent developments and </w:t>
      </w:r>
      <w:r w:rsidRPr="00507C0F">
        <w:t>potential</w:t>
      </w:r>
      <w:r w:rsidRPr="00507C0F">
        <w:rPr>
          <w:spacing w:val="32"/>
          <w:w w:val="99"/>
        </w:rPr>
        <w:t xml:space="preserve"> </w:t>
      </w:r>
      <w:r w:rsidRPr="00507C0F">
        <w:t>improvements</w:t>
      </w:r>
      <w:r w:rsidRPr="00507C0F">
        <w:rPr>
          <w:spacing w:val="-8"/>
        </w:rPr>
        <w:t xml:space="preserve"> </w:t>
      </w:r>
      <w:r w:rsidRPr="00507C0F">
        <w:t>to</w:t>
      </w:r>
      <w:r w:rsidRPr="00507C0F">
        <w:rPr>
          <w:spacing w:val="-8"/>
        </w:rPr>
        <w:t xml:space="preserve"> </w:t>
      </w:r>
      <w:r w:rsidRPr="00507C0F">
        <w:t>the</w:t>
      </w:r>
      <w:r w:rsidRPr="00507C0F">
        <w:rPr>
          <w:spacing w:val="-8"/>
        </w:rPr>
        <w:t xml:space="preserve"> </w:t>
      </w:r>
      <w:r w:rsidRPr="00507C0F">
        <w:t>EQR</w:t>
      </w:r>
      <w:r w:rsidRPr="00507C0F">
        <w:rPr>
          <w:spacing w:val="-7"/>
        </w:rPr>
        <w:t xml:space="preserve"> </w:t>
      </w:r>
      <w:r w:rsidRPr="00507C0F">
        <w:t>program</w:t>
      </w:r>
      <w:r w:rsidRPr="00507C0F">
        <w:rPr>
          <w:spacing w:val="-8"/>
        </w:rPr>
        <w:t xml:space="preserve"> </w:t>
      </w:r>
      <w:r w:rsidRPr="00507C0F">
        <w:t>and</w:t>
      </w:r>
      <w:r w:rsidRPr="00507C0F">
        <w:rPr>
          <w:spacing w:val="-8"/>
        </w:rPr>
        <w:t xml:space="preserve"> </w:t>
      </w:r>
      <w:r w:rsidRPr="00507C0F">
        <w:t>the</w:t>
      </w:r>
      <w:r w:rsidRPr="00507C0F">
        <w:rPr>
          <w:spacing w:val="-7"/>
        </w:rPr>
        <w:t xml:space="preserve"> </w:t>
      </w:r>
      <w:r w:rsidRPr="00507C0F">
        <w:t>EQR</w:t>
      </w:r>
      <w:r w:rsidRPr="00507C0F">
        <w:rPr>
          <w:spacing w:val="-8"/>
        </w:rPr>
        <w:t xml:space="preserve"> </w:t>
      </w:r>
      <w:r w:rsidRPr="00507C0F">
        <w:t>filing</w:t>
      </w:r>
      <w:r w:rsidRPr="00507C0F">
        <w:rPr>
          <w:spacing w:val="-8"/>
        </w:rPr>
        <w:t xml:space="preserve"> </w:t>
      </w:r>
      <w:r w:rsidRPr="00507C0F">
        <w:t xml:space="preserve">process. </w:t>
      </w:r>
      <w:r w:rsidR="00E85F24">
        <w:t xml:space="preserve"> </w:t>
      </w:r>
      <w:r>
        <w:t xml:space="preserve">Questions regarding the meeting </w:t>
      </w:r>
      <w:r w:rsidRPr="00507C0F">
        <w:rPr>
          <w:rFonts w:cs="Times New Roman"/>
          <w:spacing w:val="-8"/>
        </w:rPr>
        <w:t xml:space="preserve">may be emailed to </w:t>
      </w:r>
      <w:hyperlink r:id="rId12" w:history="1">
        <w:r w:rsidRPr="00507C0F">
          <w:rPr>
            <w:rFonts w:cs="Times New Roman"/>
            <w:color w:val="0000FF"/>
            <w:u w:val="single"/>
          </w:rPr>
          <w:t>EQRUsersGroup@ferc.gov</w:t>
        </w:r>
      </w:hyperlink>
      <w:r>
        <w:rPr>
          <w:rFonts w:cs="Times New Roman"/>
          <w:spacing w:val="-8"/>
        </w:rPr>
        <w:t>.</w:t>
      </w:r>
    </w:p>
    <w:p w14:paraId="1755B908" w14:textId="77777777" w:rsidR="00A42481" w:rsidRDefault="00A42481" w:rsidP="00A42481">
      <w:pPr>
        <w:pStyle w:val="BodyText"/>
        <w:ind w:left="339" w:right="375" w:firstLine="720"/>
        <w:rPr>
          <w:rFonts w:cs="Times New Roman"/>
          <w:spacing w:val="-8"/>
        </w:rPr>
      </w:pPr>
    </w:p>
    <w:p w14:paraId="4EA814CA" w14:textId="04F1DD30" w:rsidR="00A42481" w:rsidRDefault="00A42481" w:rsidP="00A42481">
      <w:pPr>
        <w:pStyle w:val="BodyText"/>
        <w:ind w:left="339" w:right="375" w:firstLine="720"/>
      </w:pPr>
      <w:r w:rsidRPr="00F2698C">
        <w:t>Please note that matters pending before the Commission and subject to ex</w:t>
      </w:r>
      <w:r w:rsidR="00F2698C">
        <w:t>-</w:t>
      </w:r>
      <w:r w:rsidRPr="00F2698C">
        <w:t xml:space="preserve">parte limitations cannot be discussed at this meeting. </w:t>
      </w:r>
      <w:r w:rsidR="00E85F24">
        <w:t xml:space="preserve"> </w:t>
      </w:r>
      <w:r w:rsidRPr="00F2698C">
        <w:t xml:space="preserve">An agenda </w:t>
      </w:r>
      <w:r w:rsidR="00E217EC">
        <w:t>for</w:t>
      </w:r>
      <w:r w:rsidRPr="00F2698C">
        <w:t xml:space="preserve"> the meeting</w:t>
      </w:r>
      <w:r w:rsidR="00E217EC">
        <w:t xml:space="preserve"> follows</w:t>
      </w:r>
      <w:r>
        <w:rPr>
          <w:spacing w:val="-9"/>
        </w:rPr>
        <w:t>.</w:t>
      </w:r>
    </w:p>
    <w:p w14:paraId="21325BA8" w14:textId="77777777" w:rsidR="00A42481" w:rsidRDefault="00A42481" w:rsidP="00A42481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23F30071" w14:textId="13E167CB" w:rsidR="00A42481" w:rsidRDefault="001E36A3" w:rsidP="00A42481">
      <w:pPr>
        <w:pStyle w:val="BodyText"/>
        <w:ind w:left="339" w:right="409" w:firstLine="720"/>
      </w:pPr>
      <w:r>
        <w:rPr>
          <w:color w:val="000000"/>
        </w:rPr>
        <w:t>Information for the EQR Users Group Meeting, including a link to the webcast, will be posted on th</w:t>
      </w:r>
      <w:r w:rsidR="00E85F24">
        <w:rPr>
          <w:color w:val="000000"/>
        </w:rPr>
        <w:t>e</w:t>
      </w:r>
      <w:r>
        <w:rPr>
          <w:color w:val="000000"/>
        </w:rPr>
        <w:t xml:space="preserve"> </w:t>
      </w:r>
      <w:r w:rsidR="00026CCE">
        <w:rPr>
          <w:color w:val="000000"/>
        </w:rPr>
        <w:t>meeting</w:t>
      </w:r>
      <w:r>
        <w:rPr>
          <w:color w:val="000000"/>
        </w:rPr>
        <w:t xml:space="preserve"> event page on the Commission’s website, </w:t>
      </w:r>
      <w:hyperlink r:id="rId13" w:history="1">
        <w:r w:rsidRPr="0043465C">
          <w:rPr>
            <w:rStyle w:val="Hyperlink"/>
          </w:rPr>
          <w:t>https://www.ferc.gov/news-events/events/electric-quarterly-report-eqr-user-group-meeting-09232020-1</w:t>
        </w:r>
      </w:hyperlink>
      <w:r>
        <w:rPr>
          <w:color w:val="000000"/>
        </w:rPr>
        <w:t xml:space="preserve"> prior to the event.  </w:t>
      </w:r>
      <w:r w:rsidR="00A42481" w:rsidRPr="00DB22CC">
        <w:rPr>
          <w:color w:val="000000"/>
        </w:rPr>
        <w:t xml:space="preserve">Due to the nature of the discussion, those </w:t>
      </w:r>
      <w:r w:rsidR="00A42481">
        <w:rPr>
          <w:color w:val="000000"/>
        </w:rPr>
        <w:t xml:space="preserve">wishing to </w:t>
      </w:r>
      <w:r>
        <w:rPr>
          <w:color w:val="000000"/>
        </w:rPr>
        <w:t>participate</w:t>
      </w:r>
      <w:r w:rsidR="00A42481">
        <w:rPr>
          <w:color w:val="000000"/>
        </w:rPr>
        <w:t xml:space="preserve"> are required to register </w:t>
      </w:r>
      <w:r>
        <w:rPr>
          <w:color w:val="000000"/>
        </w:rPr>
        <w:t>for the meeting through the WebEx link</w:t>
      </w:r>
      <w:r w:rsidR="00A42481">
        <w:rPr>
          <w:color w:val="000000"/>
        </w:rPr>
        <w:t xml:space="preserve">. </w:t>
      </w:r>
      <w:r w:rsidR="00E85F24">
        <w:rPr>
          <w:color w:val="000000"/>
        </w:rPr>
        <w:t xml:space="preserve"> </w:t>
      </w:r>
      <w:r w:rsidR="00A42481" w:rsidRPr="00DB22CC">
        <w:rPr>
          <w:color w:val="000000"/>
        </w:rPr>
        <w:t>There is no registration fee.</w:t>
      </w:r>
      <w:r w:rsidR="00773259">
        <w:rPr>
          <w:color w:val="000000"/>
        </w:rPr>
        <w:t xml:space="preserve"> </w:t>
      </w:r>
      <w:r w:rsidR="00E85F24">
        <w:rPr>
          <w:color w:val="000000"/>
        </w:rPr>
        <w:t xml:space="preserve"> </w:t>
      </w:r>
      <w:r w:rsidR="00773259">
        <w:rPr>
          <w:color w:val="000000"/>
        </w:rPr>
        <w:t>Q</w:t>
      </w:r>
      <w:r w:rsidR="00A42481" w:rsidRPr="00DB22CC">
        <w:rPr>
          <w:color w:val="000000"/>
        </w:rPr>
        <w:t xml:space="preserve">uestions </w:t>
      </w:r>
      <w:r w:rsidR="00773259">
        <w:rPr>
          <w:color w:val="000000"/>
        </w:rPr>
        <w:t xml:space="preserve">may also be emailed prior to and </w:t>
      </w:r>
      <w:r w:rsidR="00A42481" w:rsidRPr="00DB22CC">
        <w:rPr>
          <w:color w:val="000000"/>
        </w:rPr>
        <w:t xml:space="preserve">during the </w:t>
      </w:r>
      <w:r w:rsidR="00773259">
        <w:rPr>
          <w:color w:val="000000"/>
        </w:rPr>
        <w:t xml:space="preserve">event </w:t>
      </w:r>
      <w:r w:rsidR="00A42481" w:rsidRPr="00DB22CC">
        <w:rPr>
          <w:color w:val="000000"/>
        </w:rPr>
        <w:t xml:space="preserve">to </w:t>
      </w:r>
      <w:hyperlink r:id="rId14" w:history="1">
        <w:r w:rsidR="00A42481" w:rsidRPr="00CE1DA6">
          <w:rPr>
            <w:color w:val="0000FF"/>
            <w:u w:val="single"/>
          </w:rPr>
          <w:t>EQRUsersGroup@ferc.gov</w:t>
        </w:r>
      </w:hyperlink>
      <w:r w:rsidR="00A42481" w:rsidRPr="00DB22CC">
        <w:rPr>
          <w:color w:val="000000"/>
        </w:rPr>
        <w:t>.</w:t>
      </w:r>
      <w:r w:rsidR="00A42481">
        <w:rPr>
          <w:color w:val="000000"/>
        </w:rPr>
        <w:t xml:space="preserve">    </w:t>
      </w:r>
    </w:p>
    <w:p w14:paraId="3C64C2AC" w14:textId="77777777" w:rsidR="00A42481" w:rsidRDefault="00A42481" w:rsidP="00A42481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008D0F3D" w14:textId="3625BDF9" w:rsidR="00A42481" w:rsidRDefault="00A42481" w:rsidP="00A42481">
      <w:pPr>
        <w:pStyle w:val="BodyText"/>
        <w:ind w:left="339" w:right="141" w:firstLine="720"/>
      </w:pPr>
      <w:r>
        <w:t>Commission</w:t>
      </w:r>
      <w:r>
        <w:rPr>
          <w:spacing w:val="-10"/>
        </w:rPr>
        <w:t xml:space="preserve"> </w:t>
      </w:r>
      <w:r>
        <w:t>conferences</w:t>
      </w:r>
      <w:r>
        <w:rPr>
          <w:spacing w:val="-9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accessible</w:t>
      </w:r>
      <w:r>
        <w:rPr>
          <w:spacing w:val="-9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section</w:t>
      </w:r>
      <w:r>
        <w:rPr>
          <w:spacing w:val="-9"/>
        </w:rPr>
        <w:t xml:space="preserve"> </w:t>
      </w:r>
      <w:r>
        <w:t>508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Rehabilitation</w:t>
      </w:r>
      <w:r>
        <w:rPr>
          <w:spacing w:val="22"/>
          <w:w w:val="99"/>
        </w:rPr>
        <w:t xml:space="preserve"> </w:t>
      </w:r>
      <w:r>
        <w:t>Act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1973.</w:t>
      </w:r>
      <w:r>
        <w:rPr>
          <w:spacing w:val="52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accessibility</w:t>
      </w:r>
      <w:r>
        <w:rPr>
          <w:spacing w:val="-10"/>
        </w:rPr>
        <w:t xml:space="preserve"> </w:t>
      </w:r>
      <w:r>
        <w:t>accommodations,</w:t>
      </w:r>
      <w:r>
        <w:rPr>
          <w:spacing w:val="-8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send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>to</w:t>
      </w:r>
      <w:r>
        <w:rPr>
          <w:color w:val="0000FF"/>
          <w:w w:val="99"/>
        </w:rPr>
        <w:t xml:space="preserve"> </w:t>
      </w:r>
      <w:hyperlink r:id="rId15">
        <w:r>
          <w:rPr>
            <w:color w:val="0000FF"/>
            <w:u w:val="single" w:color="0000FF"/>
          </w:rPr>
          <w:t>accessibility@ferc.gov</w:t>
        </w:r>
        <w:r>
          <w:rPr>
            <w:color w:val="0000FF"/>
            <w:spacing w:val="-8"/>
            <w:u w:val="single" w:color="0000FF"/>
          </w:rPr>
          <w:t xml:space="preserve"> </w:t>
        </w:r>
      </w:hyperlink>
      <w:r>
        <w:t>or</w:t>
      </w:r>
      <w:r>
        <w:rPr>
          <w:spacing w:val="-11"/>
        </w:rPr>
        <w:t xml:space="preserve"> </w:t>
      </w:r>
      <w:r>
        <w:t>call</w:t>
      </w:r>
      <w:r>
        <w:rPr>
          <w:spacing w:val="-10"/>
        </w:rPr>
        <w:t xml:space="preserve"> </w:t>
      </w:r>
      <w:r>
        <w:t>toll</w:t>
      </w:r>
      <w:r>
        <w:rPr>
          <w:spacing w:val="-10"/>
        </w:rPr>
        <w:t xml:space="preserve"> </w:t>
      </w:r>
      <w:r>
        <w:t>free</w:t>
      </w:r>
      <w:r>
        <w:rPr>
          <w:spacing w:val="-11"/>
        </w:rPr>
        <w:t xml:space="preserve"> </w:t>
      </w:r>
      <w:r>
        <w:t>1-866-208-3372</w:t>
      </w:r>
      <w:r>
        <w:rPr>
          <w:spacing w:val="-10"/>
        </w:rPr>
        <w:t xml:space="preserve"> </w:t>
      </w:r>
      <w:r>
        <w:t>(voice)</w:t>
      </w:r>
      <w:r>
        <w:rPr>
          <w:spacing w:val="-11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202-208-1659</w:t>
      </w:r>
      <w:r>
        <w:rPr>
          <w:spacing w:val="-7"/>
        </w:rPr>
        <w:t xml:space="preserve"> </w:t>
      </w:r>
      <w:r>
        <w:t>(TTY),</w:t>
      </w:r>
      <w:r>
        <w:rPr>
          <w:spacing w:val="24"/>
          <w:w w:val="9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send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FAX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202-208-2106</w:t>
      </w:r>
      <w:r>
        <w:rPr>
          <w:spacing w:val="-6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t>accommodations.</w:t>
      </w:r>
    </w:p>
    <w:p w14:paraId="60F5D911" w14:textId="529540B5" w:rsidR="00BF32A6" w:rsidRDefault="00BF32A6" w:rsidP="00A42481">
      <w:pPr>
        <w:pStyle w:val="BodyText"/>
        <w:ind w:left="339" w:right="141" w:firstLine="720"/>
      </w:pPr>
    </w:p>
    <w:p w14:paraId="42E0504C" w14:textId="327546B5" w:rsidR="00BF32A6" w:rsidRDefault="00BF32A6" w:rsidP="00A42481">
      <w:pPr>
        <w:pStyle w:val="BodyText"/>
        <w:ind w:left="339" w:right="141" w:firstLine="720"/>
      </w:pPr>
    </w:p>
    <w:p w14:paraId="58265216" w14:textId="51280902" w:rsidR="00BF32A6" w:rsidRDefault="00BF32A6" w:rsidP="00A42481">
      <w:pPr>
        <w:pStyle w:val="BodyText"/>
        <w:ind w:left="339" w:right="141" w:firstLine="720"/>
      </w:pPr>
    </w:p>
    <w:p w14:paraId="07EE649A" w14:textId="77777777" w:rsidR="00BF32A6" w:rsidRDefault="00BF32A6" w:rsidP="00A42481">
      <w:pPr>
        <w:pStyle w:val="BodyText"/>
        <w:ind w:left="339" w:right="141" w:firstLine="720"/>
      </w:pPr>
    </w:p>
    <w:p w14:paraId="3E8E46F7" w14:textId="77777777" w:rsidR="00A42481" w:rsidRDefault="00A42481" w:rsidP="00A42481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73454739" w14:textId="2C3DA15F" w:rsidR="00A42481" w:rsidRDefault="00A42481" w:rsidP="00A42481">
      <w:pPr>
        <w:pStyle w:val="BodyText"/>
        <w:ind w:left="339" w:right="141" w:firstLine="720"/>
      </w:pPr>
      <w:r>
        <w:lastRenderedPageBreak/>
        <w:t>For</w:t>
      </w:r>
      <w:r>
        <w:rPr>
          <w:spacing w:val="-6"/>
        </w:rPr>
        <w:t xml:space="preserve"> </w:t>
      </w:r>
      <w:r>
        <w:rPr>
          <w:spacing w:val="-1"/>
        </w:rPr>
        <w:t>more</w:t>
      </w:r>
      <w:r>
        <w:rPr>
          <w:spacing w:val="-7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EQR</w:t>
      </w:r>
      <w:r>
        <w:rPr>
          <w:spacing w:val="-7"/>
        </w:rPr>
        <w:t xml:space="preserve"> </w:t>
      </w:r>
      <w:r>
        <w:t>Users</w:t>
      </w:r>
      <w:r>
        <w:rPr>
          <w:spacing w:val="-8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rPr>
          <w:spacing w:val="-1"/>
        </w:rPr>
        <w:t>meeting,</w:t>
      </w:r>
      <w:r>
        <w:rPr>
          <w:spacing w:val="-8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contact</w:t>
      </w:r>
      <w:r>
        <w:rPr>
          <w:spacing w:val="-7"/>
        </w:rPr>
        <w:t xml:space="preserve"> Jeff Sanders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Commission’s</w:t>
      </w:r>
      <w:r>
        <w:rPr>
          <w:spacing w:val="-7"/>
        </w:rPr>
        <w:t xml:space="preserve"> </w:t>
      </w:r>
      <w:r>
        <w:t>Office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Enforcement</w:t>
      </w:r>
      <w:r>
        <w:rPr>
          <w:spacing w:val="-8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(202)</w:t>
      </w:r>
      <w:r>
        <w:rPr>
          <w:spacing w:val="-7"/>
        </w:rPr>
        <w:t xml:space="preserve"> </w:t>
      </w:r>
      <w:r>
        <w:t>502-6455,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send</w:t>
      </w:r>
      <w:r>
        <w:rPr>
          <w:spacing w:val="-8"/>
        </w:rPr>
        <w:t xml:space="preserve"> </w:t>
      </w:r>
      <w:r>
        <w:rPr>
          <w:spacing w:val="1"/>
        </w:rPr>
        <w:t>an</w:t>
      </w:r>
      <w:r>
        <w:rPr>
          <w:spacing w:val="-7"/>
        </w:rPr>
        <w:t xml:space="preserve"> </w:t>
      </w:r>
      <w:r>
        <w:rPr>
          <w:spacing w:val="-1"/>
        </w:rPr>
        <w:t>email</w:t>
      </w:r>
      <w:r>
        <w:rPr>
          <w:spacing w:val="54"/>
          <w:w w:val="99"/>
        </w:rPr>
        <w:t xml:space="preserve"> </w:t>
      </w:r>
      <w:r>
        <w:t>to</w:t>
      </w:r>
      <w:r w:rsidR="007534ED">
        <w:t xml:space="preserve"> </w:t>
      </w:r>
      <w:r>
        <w:rPr>
          <w:spacing w:val="-33"/>
        </w:rPr>
        <w:t xml:space="preserve"> </w:t>
      </w:r>
      <w:hyperlink r:id="rId16">
        <w:r>
          <w:rPr>
            <w:color w:val="0000FF"/>
            <w:u w:val="single" w:color="0000FF"/>
          </w:rPr>
          <w:t>EQRUsersGroup@ferc.gov</w:t>
        </w:r>
      </w:hyperlink>
      <w:r>
        <w:t>.</w:t>
      </w:r>
    </w:p>
    <w:p w14:paraId="43CA44AD" w14:textId="77777777" w:rsidR="00A42481" w:rsidRDefault="00A42481" w:rsidP="00A4248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B97B23" w14:textId="77777777" w:rsidR="00A42481" w:rsidRDefault="00A42481" w:rsidP="00A42481"/>
    <w:p w14:paraId="03B5C2D6" w14:textId="77777777" w:rsidR="00A42481" w:rsidRDefault="00A42481" w:rsidP="00A42481"/>
    <w:p w14:paraId="6F004C67" w14:textId="77777777" w:rsidR="00A42481" w:rsidRPr="009E55FA" w:rsidRDefault="00A42481" w:rsidP="00A42481">
      <w:pPr>
        <w:widowControl/>
        <w:ind w:firstLine="2174"/>
        <w:jc w:val="center"/>
        <w:rPr>
          <w:rFonts w:ascii="Times New Roman" w:hAnsi="Times New Roman" w:cs="Times New Roman"/>
          <w:sz w:val="26"/>
        </w:rPr>
      </w:pPr>
      <w:r w:rsidRPr="009E55FA">
        <w:rPr>
          <w:rFonts w:ascii="Times New Roman" w:hAnsi="Times New Roman" w:cs="Times New Roman"/>
          <w:sz w:val="26"/>
        </w:rPr>
        <w:t>Kimberly D. Bose,</w:t>
      </w:r>
    </w:p>
    <w:p w14:paraId="79800240" w14:textId="77777777" w:rsidR="00A42481" w:rsidRPr="009E55FA" w:rsidRDefault="00A42481" w:rsidP="00A42481">
      <w:pPr>
        <w:widowControl/>
        <w:ind w:firstLine="2174"/>
        <w:jc w:val="center"/>
      </w:pPr>
      <w:r w:rsidRPr="009E55FA">
        <w:rPr>
          <w:rFonts w:ascii="Times New Roman" w:hAnsi="Times New Roman" w:cs="Times New Roman"/>
          <w:sz w:val="26"/>
        </w:rPr>
        <w:t>Secretary.</w:t>
      </w:r>
    </w:p>
    <w:p w14:paraId="3EE354C0" w14:textId="77777777" w:rsidR="00A42481" w:rsidRPr="009E55FA" w:rsidRDefault="00A42481" w:rsidP="00A42481"/>
    <w:p w14:paraId="32371B33" w14:textId="77777777" w:rsidR="00A42481" w:rsidRDefault="00A42481">
      <w:pPr>
        <w:widowControl/>
        <w:spacing w:after="160" w:line="259" w:lineRule="auto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br w:type="page"/>
      </w:r>
    </w:p>
    <w:p w14:paraId="071B3804" w14:textId="77777777" w:rsidR="004F2BE9" w:rsidRDefault="004F2BE9" w:rsidP="004F2BE9">
      <w:pPr>
        <w:spacing w:before="1"/>
        <w:ind w:left="3251" w:right="2869" w:hanging="5"/>
        <w:jc w:val="center"/>
        <w:rPr>
          <w:rFonts w:ascii="Times New Roman"/>
          <w:b/>
          <w:sz w:val="26"/>
        </w:rPr>
      </w:pPr>
      <w:r w:rsidRPr="00891AC2">
        <w:rPr>
          <w:rFonts w:ascii="Times New Roman"/>
          <w:b/>
          <w:sz w:val="26"/>
        </w:rPr>
        <w:lastRenderedPageBreak/>
        <w:t>AGENDA</w:t>
      </w:r>
    </w:p>
    <w:p w14:paraId="3A40A5AE" w14:textId="77777777" w:rsidR="004F2BE9" w:rsidRDefault="004F2BE9" w:rsidP="004F2BE9">
      <w:pPr>
        <w:spacing w:before="1"/>
        <w:ind w:left="3251" w:right="2869" w:hanging="5"/>
        <w:jc w:val="center"/>
        <w:rPr>
          <w:rFonts w:ascii="Times New Roman"/>
          <w:b/>
          <w:sz w:val="26"/>
        </w:rPr>
      </w:pPr>
    </w:p>
    <w:p w14:paraId="5D20CED7" w14:textId="77777777" w:rsidR="004F2BE9" w:rsidRDefault="004F2BE9" w:rsidP="004F2BE9">
      <w:pPr>
        <w:spacing w:before="1"/>
        <w:ind w:left="3251" w:right="2869" w:hanging="5"/>
        <w:jc w:val="center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EQR</w:t>
      </w:r>
      <w:r>
        <w:rPr>
          <w:rFonts w:ascii="Times New Roman"/>
          <w:b/>
          <w:spacing w:val="-18"/>
          <w:sz w:val="26"/>
        </w:rPr>
        <w:t xml:space="preserve"> </w:t>
      </w:r>
      <w:r>
        <w:rPr>
          <w:rFonts w:ascii="Times New Roman"/>
          <w:b/>
          <w:sz w:val="26"/>
        </w:rPr>
        <w:t>Users</w:t>
      </w:r>
      <w:r>
        <w:rPr>
          <w:rFonts w:ascii="Times New Roman"/>
          <w:b/>
          <w:spacing w:val="-14"/>
          <w:sz w:val="26"/>
        </w:rPr>
        <w:t xml:space="preserve"> </w:t>
      </w:r>
      <w:r>
        <w:rPr>
          <w:rFonts w:ascii="Times New Roman"/>
          <w:b/>
          <w:sz w:val="26"/>
        </w:rPr>
        <w:t>Group</w:t>
      </w:r>
      <w:r>
        <w:rPr>
          <w:rFonts w:ascii="Times New Roman"/>
          <w:b/>
          <w:spacing w:val="-16"/>
          <w:sz w:val="26"/>
        </w:rPr>
        <w:t xml:space="preserve"> Meeting</w:t>
      </w:r>
    </w:p>
    <w:p w14:paraId="4EABE4A6" w14:textId="77777777" w:rsidR="004F2BE9" w:rsidRDefault="004F2BE9" w:rsidP="004F2BE9">
      <w:pPr>
        <w:spacing w:before="1"/>
        <w:ind w:left="3251" w:right="2869" w:hanging="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September 23, 2020</w:t>
      </w:r>
    </w:p>
    <w:p w14:paraId="336F8647" w14:textId="77777777" w:rsidR="004F2BE9" w:rsidRDefault="004F2BE9" w:rsidP="004F2BE9">
      <w:pPr>
        <w:spacing w:before="1"/>
        <w:ind w:right="286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87F20B1" w14:textId="77777777" w:rsidR="004F2BE9" w:rsidRDefault="004F2BE9" w:rsidP="004F2BE9">
      <w:pPr>
        <w:spacing w:before="1"/>
        <w:ind w:right="286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7020"/>
      </w:tblGrid>
      <w:tr w:rsidR="004F2BE9" w:rsidRPr="006119B6" w14:paraId="4EE520EC" w14:textId="77777777" w:rsidTr="00026CCE">
        <w:tc>
          <w:tcPr>
            <w:tcW w:w="2785" w:type="dxa"/>
          </w:tcPr>
          <w:p w14:paraId="20160A68" w14:textId="1A49E590" w:rsidR="004F2BE9" w:rsidRPr="006119B6" w:rsidRDefault="00961009" w:rsidP="00961009">
            <w:pPr>
              <w:spacing w:before="1"/>
              <w:rPr>
                <w:rFonts w:ascii="Times New Roman" w:hAnsi="Times New Roman" w:cs="Times New Roman"/>
                <w:sz w:val="26"/>
                <w:szCs w:val="26"/>
              </w:rPr>
            </w:pPr>
            <w:r w:rsidRPr="0052309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52309A" w:rsidRPr="0052309A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 w:rsidRPr="0052309A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="0052309A" w:rsidRPr="0052309A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52309A">
              <w:rPr>
                <w:rFonts w:ascii="Times New Roman" w:hAnsi="Times New Roman" w:cs="Times New Roman"/>
                <w:sz w:val="26"/>
                <w:szCs w:val="26"/>
              </w:rPr>
              <w:t>.m.</w:t>
            </w:r>
            <w:r w:rsidR="005230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309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5230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230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:15</w:t>
            </w:r>
            <w:r w:rsidR="0052309A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.m.</w:t>
            </w:r>
          </w:p>
        </w:tc>
        <w:tc>
          <w:tcPr>
            <w:tcW w:w="7020" w:type="dxa"/>
          </w:tcPr>
          <w:p w14:paraId="089A0509" w14:textId="0F797CA8" w:rsidR="004F2BE9" w:rsidRPr="006119B6" w:rsidRDefault="004F2BE9" w:rsidP="004F2BE9">
            <w:pPr>
              <w:pStyle w:val="Heading1"/>
              <w:outlineLvl w:val="0"/>
            </w:pPr>
            <w:r w:rsidRPr="006119B6">
              <w:t>Introductions and Logistics</w:t>
            </w:r>
          </w:p>
          <w:p w14:paraId="17BFE82A" w14:textId="55056741" w:rsidR="004F2BE9" w:rsidRPr="006119B6" w:rsidRDefault="004F2BE9" w:rsidP="00C84E66">
            <w:pPr>
              <w:pStyle w:val="ListParagraph"/>
              <w:numPr>
                <w:ilvl w:val="0"/>
                <w:numId w:val="5"/>
              </w:numPr>
            </w:pPr>
            <w:r w:rsidRPr="006119B6">
              <w:t>Agenda Review</w:t>
            </w:r>
          </w:p>
          <w:p w14:paraId="2EEC29A4" w14:textId="178A463D" w:rsidR="004F2BE9" w:rsidRPr="006119B6" w:rsidRDefault="004F2BE9" w:rsidP="00C84E66">
            <w:pPr>
              <w:pStyle w:val="ListParagraph"/>
              <w:numPr>
                <w:ilvl w:val="0"/>
                <w:numId w:val="5"/>
              </w:numPr>
            </w:pPr>
            <w:r w:rsidRPr="006119B6">
              <w:t xml:space="preserve">Meeting </w:t>
            </w:r>
            <w:r w:rsidR="00EA5D65">
              <w:t xml:space="preserve">Format </w:t>
            </w:r>
            <w:r w:rsidRPr="006119B6">
              <w:t>for Comments and Questions</w:t>
            </w:r>
          </w:p>
          <w:p w14:paraId="35065484" w14:textId="77777777" w:rsidR="004F2BE9" w:rsidRPr="006119B6" w:rsidRDefault="004F2BE9" w:rsidP="004F2BE9">
            <w:pPr>
              <w:spacing w:before="1"/>
              <w:ind w:right="28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2BE9" w:rsidRPr="006119B6" w14:paraId="6D07783B" w14:textId="77777777" w:rsidTr="00026CCE">
        <w:tc>
          <w:tcPr>
            <w:tcW w:w="2785" w:type="dxa"/>
          </w:tcPr>
          <w:p w14:paraId="472CD6D3" w14:textId="4C5EFD31" w:rsidR="004F2BE9" w:rsidRPr="006119B6" w:rsidRDefault="00251DC2" w:rsidP="00251DC2">
            <w:pPr>
              <w:spacing w:before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230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:15 </w:t>
            </w:r>
            <w:r w:rsidR="0052309A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.m. – 1</w:t>
            </w:r>
            <w:r w:rsidR="005230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5230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2309A">
              <w:rPr>
                <w:rFonts w:ascii="Times New Roman" w:hAnsi="Times New Roman" w:cs="Times New Roman"/>
                <w:sz w:val="26"/>
                <w:szCs w:val="26"/>
              </w:rPr>
              <w:t xml:space="preserve"> 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.m.</w:t>
            </w:r>
          </w:p>
        </w:tc>
        <w:tc>
          <w:tcPr>
            <w:tcW w:w="7020" w:type="dxa"/>
          </w:tcPr>
          <w:p w14:paraId="1E3A355F" w14:textId="77777777" w:rsidR="004F2BE9" w:rsidRPr="006119B6" w:rsidRDefault="004F2BE9" w:rsidP="004F2BE9">
            <w:pPr>
              <w:pStyle w:val="Heading1"/>
              <w:outlineLvl w:val="0"/>
            </w:pPr>
            <w:r w:rsidRPr="006119B6">
              <w:t>Updates Since Last Meeting</w:t>
            </w:r>
          </w:p>
          <w:p w14:paraId="3A1E3363" w14:textId="2DEA9643" w:rsidR="004F2BE9" w:rsidRDefault="004F2BE9" w:rsidP="004C33F0">
            <w:pPr>
              <w:pStyle w:val="ListParagraph"/>
              <w:numPr>
                <w:ilvl w:val="0"/>
                <w:numId w:val="3"/>
              </w:numPr>
            </w:pPr>
            <w:r w:rsidRPr="006119B6">
              <w:t>New EQR Webpage</w:t>
            </w:r>
          </w:p>
          <w:p w14:paraId="030DA443" w14:textId="4AEB370E" w:rsidR="00986F82" w:rsidRPr="006119B6" w:rsidRDefault="00986F82" w:rsidP="004C33F0">
            <w:pPr>
              <w:pStyle w:val="ListParagraph"/>
              <w:numPr>
                <w:ilvl w:val="0"/>
                <w:numId w:val="3"/>
              </w:numPr>
            </w:pPr>
            <w:r>
              <w:t>Elimination of EQR RSS Feed</w:t>
            </w:r>
          </w:p>
          <w:p w14:paraId="08440906" w14:textId="673089C5" w:rsidR="004F2BE9" w:rsidRPr="006119B6" w:rsidRDefault="004F2BE9" w:rsidP="004C33F0">
            <w:pPr>
              <w:pStyle w:val="ListParagraph"/>
              <w:numPr>
                <w:ilvl w:val="0"/>
                <w:numId w:val="3"/>
              </w:numPr>
            </w:pPr>
            <w:r w:rsidRPr="006119B6">
              <w:t>New EQR Validations</w:t>
            </w:r>
            <w:r w:rsidR="000B6707">
              <w:t xml:space="preserve"> and</w:t>
            </w:r>
            <w:r w:rsidR="00EA5D65">
              <w:t xml:space="preserve"> </w:t>
            </w:r>
            <w:r w:rsidRPr="006119B6">
              <w:t>Errors</w:t>
            </w:r>
          </w:p>
          <w:p w14:paraId="45CC0EC6" w14:textId="6519A63C" w:rsidR="00825DBB" w:rsidRPr="00825DBB" w:rsidRDefault="004F2BE9" w:rsidP="004C33F0">
            <w:pPr>
              <w:pStyle w:val="ListParagraph"/>
              <w:numPr>
                <w:ilvl w:val="0"/>
                <w:numId w:val="3"/>
              </w:numPr>
            </w:pPr>
            <w:r w:rsidRPr="006119B6">
              <w:t>June 18</w:t>
            </w:r>
            <w:r w:rsidRPr="004C33F0">
              <w:rPr>
                <w:vertAlign w:val="superscript"/>
              </w:rPr>
              <w:t>th</w:t>
            </w:r>
            <w:r w:rsidRPr="006119B6">
              <w:t xml:space="preserve"> Order Revising and Clarifying </w:t>
            </w:r>
            <w:r w:rsidR="007D1EAD">
              <w:t>EQR</w:t>
            </w:r>
            <w:r w:rsidRPr="006119B6">
              <w:t xml:space="preserve"> Reporting Requirements</w:t>
            </w:r>
            <w:r w:rsidR="006119B6" w:rsidRPr="006119B6">
              <w:t xml:space="preserve"> (</w:t>
            </w:r>
            <w:r w:rsidR="00825DBB" w:rsidRPr="00825DBB">
              <w:t xml:space="preserve">171 FERC ¶ 61,214 </w:t>
            </w:r>
            <w:r w:rsidR="00F9450E">
              <w:t>(2020)</w:t>
            </w:r>
            <w:r w:rsidR="00825DBB" w:rsidRPr="00825DBB">
              <w:t>)</w:t>
            </w:r>
          </w:p>
          <w:p w14:paraId="62EB040E" w14:textId="77777777" w:rsidR="004F2BE9" w:rsidRPr="006119B6" w:rsidRDefault="004F2BE9" w:rsidP="0052309A">
            <w:pPr>
              <w:pStyle w:val="ListParagraph"/>
            </w:pPr>
          </w:p>
        </w:tc>
      </w:tr>
      <w:tr w:rsidR="004F2BE9" w:rsidRPr="006119B6" w14:paraId="13517151" w14:textId="77777777" w:rsidTr="00026CCE">
        <w:tc>
          <w:tcPr>
            <w:tcW w:w="2785" w:type="dxa"/>
          </w:tcPr>
          <w:p w14:paraId="529C65E5" w14:textId="16386D5C" w:rsidR="004F2BE9" w:rsidRPr="006119B6" w:rsidRDefault="00251DC2" w:rsidP="00251DC2">
            <w:pPr>
              <w:spacing w:before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2309A">
              <w:rPr>
                <w:rFonts w:ascii="Times New Roman" w:hAnsi="Times New Roman" w:cs="Times New Roman"/>
                <w:sz w:val="26"/>
                <w:szCs w:val="26"/>
              </w:rPr>
              <w:t>1:1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="0052309A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.m. – </w:t>
            </w:r>
            <w:r w:rsidR="005230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2:00 p.m.</w:t>
            </w:r>
          </w:p>
        </w:tc>
        <w:tc>
          <w:tcPr>
            <w:tcW w:w="7020" w:type="dxa"/>
          </w:tcPr>
          <w:p w14:paraId="54FDE2C6" w14:textId="6E4B0E2D" w:rsidR="004F2BE9" w:rsidRDefault="004F2BE9" w:rsidP="004C33F0">
            <w:pPr>
              <w:pStyle w:val="Heading1"/>
              <w:outlineLvl w:val="0"/>
            </w:pPr>
            <w:r w:rsidRPr="006119B6">
              <w:t>Book</w:t>
            </w:r>
            <w:r w:rsidR="008A043C">
              <w:t>ed</w:t>
            </w:r>
            <w:r w:rsidR="0052309A">
              <w:t xml:space="preserve"> Out Power Transactions</w:t>
            </w:r>
          </w:p>
          <w:p w14:paraId="28C2DD8E" w14:textId="34561961" w:rsidR="00E3687F" w:rsidRPr="004C33F0" w:rsidRDefault="00E3687F" w:rsidP="004C33F0">
            <w:pPr>
              <w:pStyle w:val="xxmsonormal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 w:cs="Times New Roman"/>
                <w:color w:val="201F1E"/>
                <w:sz w:val="26"/>
                <w:szCs w:val="26"/>
              </w:rPr>
            </w:pPr>
            <w:r w:rsidRPr="004C33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How do sellers define, classify, and capture data related to booked out power transactions?</w:t>
            </w:r>
          </w:p>
          <w:p w14:paraId="06376CC2" w14:textId="7621E578" w:rsidR="004C33F0" w:rsidRPr="004C33F0" w:rsidRDefault="00E3687F" w:rsidP="004C33F0">
            <w:pPr>
              <w:pStyle w:val="xxmsonormal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33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How do sellers report their </w:t>
            </w:r>
            <w:r w:rsidR="00EA5D65" w:rsidRPr="004C33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Booked-Out</w:t>
            </w:r>
            <w:r w:rsidRPr="004C33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4C33F0" w:rsidRPr="004C33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</w:t>
            </w:r>
            <w:r w:rsidRPr="004C33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ower transactions in the EQR?</w:t>
            </w:r>
          </w:p>
          <w:p w14:paraId="7C18B6DE" w14:textId="1050260A" w:rsidR="00E3687F" w:rsidRPr="004C33F0" w:rsidRDefault="00E3687F" w:rsidP="004C33F0">
            <w:pPr>
              <w:pStyle w:val="xxmsonormal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33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What can be done to provide further clarity on how booked out power transactions should be reported to the EQR?</w:t>
            </w:r>
          </w:p>
          <w:p w14:paraId="2AF1A4F1" w14:textId="77777777" w:rsidR="004F2BE9" w:rsidRPr="006119B6" w:rsidRDefault="004F2BE9" w:rsidP="0052309A">
            <w:pPr>
              <w:spacing w:before="1"/>
              <w:ind w:right="286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9A" w:rsidRPr="006119B6" w14:paraId="39FCA7E7" w14:textId="77777777" w:rsidTr="00026CCE">
        <w:tc>
          <w:tcPr>
            <w:tcW w:w="2785" w:type="dxa"/>
          </w:tcPr>
          <w:p w14:paraId="4945541E" w14:textId="2E761BF8" w:rsidR="0052309A" w:rsidRDefault="0052309A" w:rsidP="00251DC2">
            <w:pPr>
              <w:spacing w:before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12:00 p.m. – 1:00 p.m.</w:t>
            </w:r>
          </w:p>
          <w:p w14:paraId="49BF82E3" w14:textId="53825009" w:rsidR="0052309A" w:rsidRDefault="0052309A" w:rsidP="00251DC2">
            <w:pPr>
              <w:spacing w:before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14:paraId="530D22CB" w14:textId="59FFBB62" w:rsidR="0052309A" w:rsidRDefault="0052309A" w:rsidP="0052309A">
            <w:pPr>
              <w:spacing w:before="1"/>
              <w:ind w:right="2869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Break</w:t>
            </w:r>
          </w:p>
        </w:tc>
      </w:tr>
      <w:tr w:rsidR="004F2BE9" w:rsidRPr="006119B6" w14:paraId="30D792EE" w14:textId="77777777" w:rsidTr="00026CCE">
        <w:tc>
          <w:tcPr>
            <w:tcW w:w="2785" w:type="dxa"/>
          </w:tcPr>
          <w:p w14:paraId="3674FA02" w14:textId="61799B11" w:rsidR="004F2BE9" w:rsidRPr="006119B6" w:rsidRDefault="0052309A" w:rsidP="00251DC2">
            <w:pPr>
              <w:spacing w:before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51DC2">
              <w:rPr>
                <w:rFonts w:ascii="Times New Roman" w:hAnsi="Times New Roman" w:cs="Times New Roman"/>
                <w:sz w:val="26"/>
                <w:szCs w:val="26"/>
              </w:rPr>
              <w:t xml:space="preserve">:00 p.m. – </w:t>
            </w:r>
            <w:r w:rsidR="000964C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51DC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 p.m.</w:t>
            </w:r>
          </w:p>
        </w:tc>
        <w:tc>
          <w:tcPr>
            <w:tcW w:w="7020" w:type="dxa"/>
          </w:tcPr>
          <w:p w14:paraId="40A7E070" w14:textId="1562AE61" w:rsidR="004F2BE9" w:rsidRDefault="004F2BE9" w:rsidP="0052309A">
            <w:pPr>
              <w:pStyle w:val="Heading1"/>
              <w:outlineLvl w:val="0"/>
            </w:pPr>
            <w:bookmarkStart w:id="1" w:name="_Hlk50030072"/>
            <w:r w:rsidRPr="006119B6">
              <w:t>EQR Reassessment</w:t>
            </w:r>
          </w:p>
          <w:p w14:paraId="04A6E902" w14:textId="1A659D0C" w:rsidR="00940419" w:rsidRDefault="00940419" w:rsidP="00FF7B2E">
            <w:pPr>
              <w:pStyle w:val="ListParagraph"/>
              <w:numPr>
                <w:ilvl w:val="0"/>
                <w:numId w:val="4"/>
              </w:numPr>
            </w:pPr>
            <w:r>
              <w:t>Updates since last meeting</w:t>
            </w:r>
          </w:p>
          <w:p w14:paraId="36EEE724" w14:textId="72751842" w:rsidR="000964CD" w:rsidRDefault="000964CD" w:rsidP="00EA5D65">
            <w:pPr>
              <w:pStyle w:val="ListParagraph"/>
              <w:numPr>
                <w:ilvl w:val="0"/>
                <w:numId w:val="4"/>
              </w:numPr>
            </w:pPr>
            <w:r>
              <w:t>EQR Reassessment Going Forward</w:t>
            </w:r>
          </w:p>
          <w:p w14:paraId="11308EC5" w14:textId="7CC89E21" w:rsidR="004338B3" w:rsidRPr="006119B6" w:rsidRDefault="004338B3" w:rsidP="004338B3">
            <w:pPr>
              <w:pStyle w:val="ListParagraph"/>
              <w:numPr>
                <w:ilvl w:val="0"/>
                <w:numId w:val="4"/>
              </w:numPr>
            </w:pPr>
            <w:r>
              <w:t>What is XBRL</w:t>
            </w:r>
            <w:bookmarkEnd w:id="1"/>
            <w:r>
              <w:t>?</w:t>
            </w:r>
          </w:p>
          <w:p w14:paraId="035A0DFF" w14:textId="77777777" w:rsidR="004F2BE9" w:rsidRPr="006119B6" w:rsidRDefault="004F2BE9" w:rsidP="0052309A">
            <w:pPr>
              <w:pStyle w:val="Heading1"/>
              <w:outlineLvl w:val="0"/>
            </w:pPr>
          </w:p>
        </w:tc>
      </w:tr>
      <w:tr w:rsidR="00EA5D65" w:rsidRPr="006119B6" w14:paraId="556B6CAB" w14:textId="77777777" w:rsidTr="00026CCE">
        <w:tc>
          <w:tcPr>
            <w:tcW w:w="2785" w:type="dxa"/>
          </w:tcPr>
          <w:p w14:paraId="592C7D24" w14:textId="3B890CA3" w:rsidR="00EA5D65" w:rsidRPr="006119B6" w:rsidRDefault="00EA5D65" w:rsidP="00251DC2">
            <w:pPr>
              <w:spacing w:before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4:00 p.m. – 4:55 p.m.</w:t>
            </w:r>
          </w:p>
        </w:tc>
        <w:tc>
          <w:tcPr>
            <w:tcW w:w="7020" w:type="dxa"/>
          </w:tcPr>
          <w:p w14:paraId="13B69A5D" w14:textId="5B73AF57" w:rsidR="00EA5D65" w:rsidRDefault="00EA5D65" w:rsidP="0052309A">
            <w:pPr>
              <w:pStyle w:val="Heading1"/>
              <w:outlineLvl w:val="0"/>
            </w:pPr>
            <w:r w:rsidRPr="00251DC2">
              <w:t>Open Discussion</w:t>
            </w:r>
            <w:r>
              <w:t xml:space="preserve"> – Feedback to topics received from users</w:t>
            </w:r>
          </w:p>
          <w:p w14:paraId="4655675E" w14:textId="77777777" w:rsidR="00EA5D65" w:rsidRPr="006119B6" w:rsidRDefault="00EA5D65" w:rsidP="0052309A">
            <w:pPr>
              <w:pStyle w:val="Heading1"/>
              <w:outlineLvl w:val="0"/>
            </w:pPr>
          </w:p>
        </w:tc>
      </w:tr>
      <w:tr w:rsidR="00EA5D65" w:rsidRPr="006119B6" w14:paraId="40FBED55" w14:textId="77777777" w:rsidTr="00026CCE">
        <w:tc>
          <w:tcPr>
            <w:tcW w:w="2785" w:type="dxa"/>
          </w:tcPr>
          <w:p w14:paraId="1C25ED8D" w14:textId="77777777" w:rsidR="00EA5D65" w:rsidRDefault="00EA5D65" w:rsidP="00251DC2">
            <w:pPr>
              <w:spacing w:before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4:55 p.m. – 5:00 p.m.</w:t>
            </w:r>
          </w:p>
          <w:p w14:paraId="1534CF10" w14:textId="5F4CB0C2" w:rsidR="00EA5D65" w:rsidRPr="006119B6" w:rsidRDefault="00EA5D65" w:rsidP="00251DC2">
            <w:pPr>
              <w:spacing w:before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14:paraId="453C9A65" w14:textId="7617035A" w:rsidR="00EA5D65" w:rsidRPr="006119B6" w:rsidRDefault="00EA5D65" w:rsidP="0052309A">
            <w:pPr>
              <w:pStyle w:val="Heading1"/>
              <w:outlineLvl w:val="0"/>
            </w:pPr>
            <w:r w:rsidRPr="00421B8C">
              <w:t>Closing Remarks</w:t>
            </w:r>
          </w:p>
        </w:tc>
      </w:tr>
    </w:tbl>
    <w:p w14:paraId="253355BF" w14:textId="77777777" w:rsidR="004F2BE9" w:rsidRPr="006119B6" w:rsidRDefault="004F2BE9" w:rsidP="004F2BE9">
      <w:pPr>
        <w:spacing w:before="1"/>
        <w:ind w:right="2869"/>
        <w:jc w:val="both"/>
        <w:rPr>
          <w:rFonts w:ascii="Times New Roman" w:hAnsi="Times New Roman" w:cs="Times New Roman"/>
          <w:sz w:val="26"/>
          <w:szCs w:val="26"/>
        </w:rPr>
      </w:pPr>
    </w:p>
    <w:p w14:paraId="3D6D40E7" w14:textId="77777777" w:rsidR="00E479A1" w:rsidRPr="006119B6" w:rsidRDefault="00E479A1">
      <w:pPr>
        <w:rPr>
          <w:rFonts w:ascii="Times New Roman" w:hAnsi="Times New Roman" w:cs="Times New Roman"/>
        </w:rPr>
      </w:pPr>
    </w:p>
    <w:sectPr w:rsidR="00E479A1" w:rsidRPr="006119B6" w:rsidSect="00BF32A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C62D2" w14:textId="77777777" w:rsidR="009F6525" w:rsidRDefault="009F6525" w:rsidP="00251DC2">
      <w:r>
        <w:separator/>
      </w:r>
    </w:p>
  </w:endnote>
  <w:endnote w:type="continuationSeparator" w:id="0">
    <w:p w14:paraId="72E86708" w14:textId="77777777" w:rsidR="009F6525" w:rsidRDefault="009F6525" w:rsidP="00251DC2">
      <w:r>
        <w:continuationSeparator/>
      </w:r>
    </w:p>
  </w:endnote>
  <w:endnote w:type="continuationNotice" w:id="1">
    <w:p w14:paraId="4BD60FEE" w14:textId="77777777" w:rsidR="00C4316E" w:rsidRDefault="00C431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08D3C" w14:textId="77777777" w:rsidR="00BA76C5" w:rsidRDefault="00BA76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8EEC1" w14:textId="77777777" w:rsidR="00BA76C5" w:rsidRDefault="00BA76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B2699" w14:textId="77777777" w:rsidR="00BA76C5" w:rsidRDefault="00BA76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2B3E2" w14:textId="77777777" w:rsidR="009F6525" w:rsidRDefault="009F6525" w:rsidP="00251DC2">
      <w:r>
        <w:separator/>
      </w:r>
    </w:p>
  </w:footnote>
  <w:footnote w:type="continuationSeparator" w:id="0">
    <w:p w14:paraId="2BC173BB" w14:textId="77777777" w:rsidR="009F6525" w:rsidRDefault="009F6525" w:rsidP="00251DC2">
      <w:r>
        <w:continuationSeparator/>
      </w:r>
    </w:p>
  </w:footnote>
  <w:footnote w:type="continuationNotice" w:id="1">
    <w:p w14:paraId="092C2825" w14:textId="77777777" w:rsidR="00C4316E" w:rsidRDefault="00C431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32F89" w14:textId="77777777" w:rsidR="00BA76C5" w:rsidRDefault="00BA76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6"/>
        <w:szCs w:val="26"/>
      </w:rPr>
      <w:id w:val="-54259994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171EE50" w14:textId="34D43622" w:rsidR="00BF32A6" w:rsidRPr="00BF32A6" w:rsidRDefault="00BF32A6" w:rsidP="00BF32A6">
        <w:pPr>
          <w:pStyle w:val="Header"/>
          <w:rPr>
            <w:rFonts w:ascii="Times New Roman" w:hAnsi="Times New Roman" w:cs="Times New Roman"/>
            <w:sz w:val="26"/>
            <w:szCs w:val="26"/>
          </w:rPr>
        </w:pPr>
        <w:r w:rsidRPr="00BF32A6">
          <w:rPr>
            <w:rFonts w:ascii="Times New Roman" w:hAnsi="Times New Roman" w:cs="Times New Roman"/>
            <w:sz w:val="26"/>
            <w:szCs w:val="26"/>
          </w:rPr>
          <w:t>Docket Nos.</w:t>
        </w:r>
        <w:r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Pr="00BF32A6">
          <w:rPr>
            <w:rFonts w:ascii="Times New Roman" w:hAnsi="Times New Roman" w:cs="Times New Roman"/>
            <w:sz w:val="26"/>
            <w:szCs w:val="26"/>
          </w:rPr>
          <w:t>AD20-24-000</w:t>
        </w:r>
        <w:r>
          <w:rPr>
            <w:rFonts w:ascii="Times New Roman" w:hAnsi="Times New Roman" w:cs="Times New Roman"/>
            <w:sz w:val="26"/>
            <w:szCs w:val="26"/>
          </w:rPr>
          <w:t xml:space="preserve"> and </w:t>
        </w:r>
        <w:r w:rsidRPr="00BF32A6">
          <w:rPr>
            <w:rFonts w:ascii="Times New Roman" w:hAnsi="Times New Roman" w:cs="Times New Roman"/>
            <w:sz w:val="26"/>
            <w:szCs w:val="26"/>
          </w:rPr>
          <w:t xml:space="preserve">ER02-2001-000 </w:t>
        </w:r>
        <w:r>
          <w:rPr>
            <w:rFonts w:ascii="Times New Roman" w:hAnsi="Times New Roman" w:cs="Times New Roman"/>
            <w:sz w:val="26"/>
            <w:szCs w:val="26"/>
          </w:rPr>
          <w:tab/>
        </w:r>
        <w:r w:rsidRPr="00BF32A6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BF32A6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BF32A6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BF32A6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BF32A6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717339C2" w14:textId="77777777" w:rsidR="00BF32A6" w:rsidRDefault="00BF32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53724" w14:textId="77777777" w:rsidR="00BA76C5" w:rsidRDefault="00BA76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5600B"/>
    <w:multiLevelType w:val="hybridMultilevel"/>
    <w:tmpl w:val="BD9C7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0116F"/>
    <w:multiLevelType w:val="hybridMultilevel"/>
    <w:tmpl w:val="7AD475F6"/>
    <w:lvl w:ilvl="0" w:tplc="ABF8EDC2">
      <w:numFmt w:val="bullet"/>
      <w:pStyle w:val="ListParagraph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none"/>
      </w:rPr>
    </w:lvl>
    <w:lvl w:ilvl="1" w:tplc="FBE87B5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5277D"/>
    <w:multiLevelType w:val="hybridMultilevel"/>
    <w:tmpl w:val="5AA04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FBE87B5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558D9"/>
    <w:multiLevelType w:val="hybridMultilevel"/>
    <w:tmpl w:val="9C12F85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53EE14B2"/>
    <w:multiLevelType w:val="hybridMultilevel"/>
    <w:tmpl w:val="55F06F8C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BE9"/>
    <w:rsid w:val="0000582D"/>
    <w:rsid w:val="00026CCE"/>
    <w:rsid w:val="000964CD"/>
    <w:rsid w:val="000B6707"/>
    <w:rsid w:val="000E0DBA"/>
    <w:rsid w:val="0011388F"/>
    <w:rsid w:val="001E36A3"/>
    <w:rsid w:val="00251DC2"/>
    <w:rsid w:val="003C4FBB"/>
    <w:rsid w:val="00421B8C"/>
    <w:rsid w:val="004262B5"/>
    <w:rsid w:val="004338B3"/>
    <w:rsid w:val="004A6EF3"/>
    <w:rsid w:val="004C33F0"/>
    <w:rsid w:val="004F2BE9"/>
    <w:rsid w:val="00516082"/>
    <w:rsid w:val="0052309A"/>
    <w:rsid w:val="00562C74"/>
    <w:rsid w:val="00582DAE"/>
    <w:rsid w:val="005C2245"/>
    <w:rsid w:val="006119B6"/>
    <w:rsid w:val="00723540"/>
    <w:rsid w:val="007534ED"/>
    <w:rsid w:val="00773259"/>
    <w:rsid w:val="007A024D"/>
    <w:rsid w:val="007D1EAD"/>
    <w:rsid w:val="00825DBB"/>
    <w:rsid w:val="008A043C"/>
    <w:rsid w:val="008D1141"/>
    <w:rsid w:val="0091410F"/>
    <w:rsid w:val="00940419"/>
    <w:rsid w:val="00961009"/>
    <w:rsid w:val="00986F82"/>
    <w:rsid w:val="009A31D7"/>
    <w:rsid w:val="009F6525"/>
    <w:rsid w:val="00A133A5"/>
    <w:rsid w:val="00A42481"/>
    <w:rsid w:val="00AB2FF2"/>
    <w:rsid w:val="00AB681D"/>
    <w:rsid w:val="00B35074"/>
    <w:rsid w:val="00B77F29"/>
    <w:rsid w:val="00BA76C5"/>
    <w:rsid w:val="00BB3942"/>
    <w:rsid w:val="00BF1C68"/>
    <w:rsid w:val="00BF32A6"/>
    <w:rsid w:val="00BF6751"/>
    <w:rsid w:val="00C21C0B"/>
    <w:rsid w:val="00C3560E"/>
    <w:rsid w:val="00C4316E"/>
    <w:rsid w:val="00C67612"/>
    <w:rsid w:val="00C84E66"/>
    <w:rsid w:val="00C95F32"/>
    <w:rsid w:val="00CA3783"/>
    <w:rsid w:val="00CB424A"/>
    <w:rsid w:val="00D1086F"/>
    <w:rsid w:val="00D3427C"/>
    <w:rsid w:val="00D35C0A"/>
    <w:rsid w:val="00D56BD6"/>
    <w:rsid w:val="00DD1B51"/>
    <w:rsid w:val="00E217EC"/>
    <w:rsid w:val="00E357C2"/>
    <w:rsid w:val="00E3687F"/>
    <w:rsid w:val="00E479A1"/>
    <w:rsid w:val="00E85F24"/>
    <w:rsid w:val="00EA5D65"/>
    <w:rsid w:val="00ED08DE"/>
    <w:rsid w:val="00F2698C"/>
    <w:rsid w:val="00F57C9A"/>
    <w:rsid w:val="00F9450E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1ADCB98"/>
  <w15:chartTrackingRefBased/>
  <w15:docId w15:val="{9C4D2827-0A3C-45DE-9F13-8EC7CFE8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4F2BE9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4F2BE9"/>
    <w:pPr>
      <w:outlineLvl w:val="0"/>
    </w:pPr>
    <w:rPr>
      <w:rFonts w:ascii="Times New Roman" w:hAnsi="Times New Roman" w:cs="Times New Roman"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2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4F2BE9"/>
    <w:rPr>
      <w:rFonts w:ascii="Times New Roman" w:hAnsi="Times New Roman" w:cs="Times New Roman"/>
      <w:sz w:val="26"/>
      <w:szCs w:val="26"/>
      <w:u w:val="single"/>
    </w:rPr>
  </w:style>
  <w:style w:type="paragraph" w:styleId="ListParagraph">
    <w:name w:val="List Paragraph"/>
    <w:basedOn w:val="Normal"/>
    <w:uiPriority w:val="34"/>
    <w:qFormat/>
    <w:rsid w:val="004F2BE9"/>
    <w:pPr>
      <w:numPr>
        <w:numId w:val="1"/>
      </w:numPr>
      <w:ind w:left="432" w:hanging="288"/>
      <w:contextualSpacing/>
      <w:outlineLvl w:val="1"/>
    </w:pPr>
    <w:rPr>
      <w:rFonts w:ascii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119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9B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D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DC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A42481"/>
    <w:pPr>
      <w:ind w:left="100"/>
    </w:pPr>
    <w:rPr>
      <w:rFonts w:ascii="Times New Roman" w:eastAsia="Times New Roman" w:hAnsi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A42481"/>
    <w:rPr>
      <w:rFonts w:ascii="Times New Roman" w:eastAsia="Times New Roman" w:hAnsi="Times New Roman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A42481"/>
  </w:style>
  <w:style w:type="character" w:styleId="FollowedHyperlink">
    <w:name w:val="FollowedHyperlink"/>
    <w:basedOn w:val="DefaultParagraphFont"/>
    <w:uiPriority w:val="99"/>
    <w:semiHidden/>
    <w:unhideWhenUsed/>
    <w:rsid w:val="00CB424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B42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42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42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2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24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B424A"/>
    <w:pPr>
      <w:spacing w:after="0" w:line="240" w:lineRule="auto"/>
    </w:pPr>
  </w:style>
  <w:style w:type="paragraph" w:customStyle="1" w:styleId="xxmsonormal">
    <w:name w:val="x_x_msonormal"/>
    <w:basedOn w:val="Normal"/>
    <w:rsid w:val="00E3687F"/>
    <w:pPr>
      <w:widowControl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C431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16E"/>
  </w:style>
  <w:style w:type="paragraph" w:styleId="Footer">
    <w:name w:val="footer"/>
    <w:basedOn w:val="Normal"/>
    <w:link w:val="FooterChar"/>
    <w:uiPriority w:val="99"/>
    <w:unhideWhenUsed/>
    <w:rsid w:val="00C431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8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ferc.gov/news-events/events/electric-quarterly-report-eqr-user-group-meeting-09232020-1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mailto:eqrusersgroup@ferc.gov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EQRUsersGroup@ferc.gov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accessibility@ferc.gov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QRUsersGroup@ferc.gov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BBA46C296F7C4CB651D6F7E4CC084A" ma:contentTypeVersion="6" ma:contentTypeDescription="Create a new document." ma:contentTypeScope="" ma:versionID="0f70db97750ef986ae0341d7ca06254e">
  <xsd:schema xmlns:xsd="http://www.w3.org/2001/XMLSchema" xmlns:xs="http://www.w3.org/2001/XMLSchema" xmlns:p="http://schemas.microsoft.com/office/2006/metadata/properties" xmlns:ns2="5e8733a2-e908-454b-85cf-c9d17e1d0943" targetNamespace="http://schemas.microsoft.com/office/2006/metadata/properties" ma:root="true" ma:fieldsID="de1f8b43b19bdf3d1502717f535efbd3" ns2:_="">
    <xsd:import namespace="5e8733a2-e908-454b-85cf-c9d17e1d0943"/>
    <xsd:element name="properties">
      <xsd:complexType>
        <xsd:sequence>
          <xsd:element name="documentManagement">
            <xsd:complexType>
              <xsd:all>
                <xsd:element ref="ns2:Security_x0020_Level" minOccurs="0"/>
                <xsd:element ref="ns2:Number_x0020_Of_x0020_Pages" minOccurs="0"/>
                <xsd:element ref="ns2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733a2-e908-454b-85cf-c9d17e1d0943" elementFormDefault="qualified">
    <xsd:import namespace="http://schemas.microsoft.com/office/2006/documentManagement/types"/>
    <xsd:import namespace="http://schemas.microsoft.com/office/infopath/2007/PartnerControls"/>
    <xsd:element name="Security_x0020_Level" ma:index="8" nillable="true" ma:displayName="Security Level" ma:internalName="Security_x0020_Level">
      <xsd:simpleType>
        <xsd:restriction base="dms:Text">
          <xsd:maxLength value="255"/>
        </xsd:restriction>
      </xsd:simpleType>
    </xsd:element>
    <xsd:element name="Number_x0020_Of_x0020_Pages" ma:index="9" nillable="true" ma:displayName="Number Of Pages" ma:internalName="Number_x0020_Of_x0020_Pages">
      <xsd:simpleType>
        <xsd:restriction base="dms:Number"/>
      </xsd:simpleType>
    </xsd:element>
    <xsd:element name="DocType" ma:index="10" nillable="true" ma:displayName="DocType" ma:internalName="DocTyp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74a4cd09-5f17-433b-814a-38e7e9115d16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5e8733a2-e908-454b-85cf-c9d17e1d0943">Issuance</DocType>
    <Security_x0020_Level xmlns="5e8733a2-e908-454b-85cf-c9d17e1d0943">Public</Security_x0020_Level>
    <Number_x0020_Of_x0020_Pages xmlns="5e8733a2-e908-454b-85cf-c9d17e1d094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7A852-937C-4C84-8C58-251585F61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733a2-e908-454b-85cf-c9d17e1d0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2EEC65-4937-4F81-88B3-FEFB2D73FF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7FAFCE-A0B5-497A-B606-8C55642B172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D7EBCE3-90F9-4EEC-BA91-F4F7603BCE17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e8733a2-e908-454b-85cf-c9d17e1d0943"/>
    <ds:schemaRef ds:uri="http://purl.org/dc/elements/1.1/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BF3449FA-17F7-4BD5-A347-AB7AFD417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Lengenfelder</dc:creator>
  <cp:keywords/>
  <dc:description/>
  <cp:lastModifiedBy>David Lengenfelder</cp:lastModifiedBy>
  <cp:revision>2</cp:revision>
  <dcterms:created xsi:type="dcterms:W3CDTF">2020-09-22T14:55:00Z</dcterms:created>
  <dcterms:modified xsi:type="dcterms:W3CDTF">2020-09-22T14:55:00Z</dcterms:modified>
  <cp:category/>
  <dc:identifier/>
  <cp:contentStatus/>
  <cp:version/>
</cp:coreProperties>
</file>